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游金明名师工作室简介</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eastAsia="仿宋_GB2312"/>
          <w:sz w:val="28"/>
          <w:szCs w:val="28"/>
        </w:rPr>
      </w:pPr>
      <w:r>
        <w:rPr>
          <w:rFonts w:hint="eastAsia" w:ascii="仿宋_GB2312" w:eastAsia="仿宋_GB2312"/>
          <w:sz w:val="28"/>
          <w:szCs w:val="28"/>
        </w:rPr>
        <w:t>游金明名师工作室成立于</w:t>
      </w:r>
      <w:r>
        <w:rPr>
          <w:rFonts w:ascii="仿宋_GB2312" w:eastAsia="仿宋_GB2312"/>
          <w:sz w:val="28"/>
          <w:szCs w:val="28"/>
        </w:rPr>
        <w:t>2018年1月，</w:t>
      </w:r>
      <w:r>
        <w:rPr>
          <w:rFonts w:hint="eastAsia" w:ascii="仿宋_GB2312" w:eastAsia="仿宋_GB2312"/>
          <w:sz w:val="28"/>
          <w:szCs w:val="28"/>
        </w:rPr>
        <w:t>工作室面向国家重大需求及江西畜牧业生产实际，针对饲用抗生素替代和仔猪断奶应激的瓶颈问题，产、学、研相结合，本硕博教学实践一体化，构建了农科专业“科技小院”研究生培养新模式，打通了科技服务从象牙塔到泥土地的“最后一公里”；创新了猪肠道健康营养理论与饲料营养调控技术，为开发绿色安全功能性仔猪饲料提供技术支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工作室由</w:t>
      </w:r>
      <w:r>
        <w:rPr>
          <w:rFonts w:ascii="仿宋_GB2312" w:eastAsia="仿宋_GB2312"/>
          <w:sz w:val="28"/>
          <w:szCs w:val="28"/>
        </w:rPr>
        <w:t>8</w:t>
      </w:r>
      <w:r>
        <w:rPr>
          <w:rFonts w:hint="eastAsia" w:ascii="仿宋_GB2312" w:eastAsia="仿宋_GB2312"/>
          <w:sz w:val="28"/>
          <w:szCs w:val="28"/>
        </w:rPr>
        <w:t>位成员组成，其中教授（研究员）</w:t>
      </w:r>
      <w:r>
        <w:rPr>
          <w:rFonts w:ascii="仿宋_GB2312" w:eastAsia="仿宋_GB2312"/>
          <w:sz w:val="28"/>
          <w:szCs w:val="28"/>
        </w:rPr>
        <w:t>3</w:t>
      </w:r>
      <w:r>
        <w:rPr>
          <w:rFonts w:hint="eastAsia" w:ascii="仿宋_GB2312" w:eastAsia="仿宋_GB2312"/>
          <w:sz w:val="28"/>
          <w:szCs w:val="28"/>
        </w:rPr>
        <w:t>人，讲师（助理研究员）</w:t>
      </w:r>
      <w:r>
        <w:rPr>
          <w:rFonts w:ascii="仿宋_GB2312" w:eastAsia="仿宋_GB2312"/>
          <w:sz w:val="28"/>
          <w:szCs w:val="28"/>
        </w:rPr>
        <w:t>3</w:t>
      </w:r>
      <w:r>
        <w:rPr>
          <w:rFonts w:hint="eastAsia" w:ascii="仿宋_GB2312" w:eastAsia="仿宋_GB2312"/>
          <w:sz w:val="28"/>
          <w:szCs w:val="28"/>
        </w:rPr>
        <w:t>人，助教</w:t>
      </w:r>
      <w:r>
        <w:rPr>
          <w:rFonts w:ascii="仿宋_GB2312" w:eastAsia="仿宋_GB2312"/>
          <w:sz w:val="28"/>
          <w:szCs w:val="28"/>
        </w:rPr>
        <w:t>1</w:t>
      </w:r>
      <w:r>
        <w:rPr>
          <w:rFonts w:hint="eastAsia" w:ascii="仿宋_GB2312" w:eastAsia="仿宋_GB2312"/>
          <w:sz w:val="28"/>
          <w:szCs w:val="28"/>
        </w:rPr>
        <w:t>人，教辅人员（高级实验师）</w:t>
      </w:r>
      <w:r>
        <w:rPr>
          <w:rFonts w:ascii="仿宋_GB2312" w:eastAsia="仿宋_GB2312"/>
          <w:sz w:val="28"/>
          <w:szCs w:val="28"/>
        </w:rPr>
        <w:t>1</w:t>
      </w:r>
      <w:r>
        <w:rPr>
          <w:rFonts w:hint="eastAsia" w:ascii="仿宋_GB2312" w:eastAsia="仿宋_GB2312"/>
          <w:sz w:val="28"/>
          <w:szCs w:val="28"/>
        </w:rPr>
        <w:t>人，</w:t>
      </w:r>
      <w:r>
        <w:rPr>
          <w:rFonts w:ascii="仿宋_GB2312" w:eastAsia="仿宋_GB2312"/>
          <w:sz w:val="28"/>
          <w:szCs w:val="28"/>
        </w:rPr>
        <w:t>4</w:t>
      </w:r>
      <w:r>
        <w:rPr>
          <w:rFonts w:hint="eastAsia" w:ascii="仿宋_GB2312" w:eastAsia="仿宋_GB2312"/>
          <w:sz w:val="28"/>
          <w:szCs w:val="28"/>
        </w:rPr>
        <w:t>人具有出国留学经历，是一支优秀的创新型团队，团队分工明确。工作室由游金明教授领衔，游金明教授</w:t>
      </w:r>
      <w:r>
        <w:rPr>
          <w:rFonts w:hint="eastAsia" w:ascii="仿宋_GB2312" w:eastAsia="仿宋_GB2312"/>
          <w:sz w:val="28"/>
          <w:szCs w:val="28"/>
          <w:lang w:eastAsia="zh-CN"/>
        </w:rPr>
        <w:t>：</w:t>
      </w:r>
      <w:r>
        <w:rPr>
          <w:rFonts w:hint="eastAsia" w:ascii="仿宋_GB2312" w:eastAsia="仿宋_GB2312"/>
          <w:sz w:val="28"/>
          <w:szCs w:val="28"/>
          <w:lang w:val="en-US" w:eastAsia="zh-CN"/>
        </w:rPr>
        <w:t>男，1973年1月生，动物科技学院博士生导师，</w:t>
      </w:r>
      <w:r>
        <w:rPr>
          <w:rFonts w:hint="eastAsia" w:ascii="仿宋_GB2312" w:eastAsia="仿宋_GB2312"/>
          <w:sz w:val="28"/>
          <w:szCs w:val="28"/>
        </w:rPr>
        <w:t>享受省政府特殊津贴，江西省新世纪百千万人才工程人选、江西省主要学科学术与技术带头人领军人才、江西省中青年骨干教师、江西省青年科学家（井冈之星）培养对象、荣获中国科协“最美科技工作者”、江西省委宣传部等“最美科技工作者”提名、江西省“赣鄱先锋”（突出贡献好榜样）、江西省高校优秀共产党员等荣誉称号。获国家科技进步奖二等奖</w:t>
      </w:r>
      <w:r>
        <w:rPr>
          <w:rFonts w:ascii="仿宋_GB2312" w:eastAsia="仿宋_GB2312"/>
          <w:sz w:val="28"/>
          <w:szCs w:val="28"/>
        </w:rPr>
        <w:t>1项、国家教学成果二等奖1项、江西省科技进步奖一等奖1项、三等奖1项、江西省高校科技成果三等奖1项、江西省教学成果一等奖3项。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工作室创立以来得到学校的大力支持，近三年学校从学科建设费中支持工作室经费</w:t>
      </w:r>
      <w:r>
        <w:rPr>
          <w:rFonts w:ascii="仿宋_GB2312" w:eastAsia="仿宋_GB2312"/>
          <w:sz w:val="28"/>
          <w:szCs w:val="28"/>
        </w:rPr>
        <w:t>95</w:t>
      </w:r>
      <w:r>
        <w:rPr>
          <w:rFonts w:hint="eastAsia" w:ascii="仿宋_GB2312" w:eastAsia="仿宋_GB2312"/>
          <w:sz w:val="28"/>
          <w:szCs w:val="28"/>
        </w:rPr>
        <w:t>万元，为工作室的创新发展提供了条件支持和后勤保障。现工作室位于江西农业大学动物科学技术学院，面积约</w:t>
      </w:r>
      <w:r>
        <w:rPr>
          <w:rFonts w:ascii="仿宋_GB2312" w:eastAsia="仿宋_GB2312"/>
          <w:sz w:val="28"/>
          <w:szCs w:val="28"/>
        </w:rPr>
        <w:t>30</w:t>
      </w:r>
      <w:r>
        <w:rPr>
          <w:rFonts w:hint="eastAsia" w:ascii="仿宋_GB2312" w:eastAsia="仿宋_GB2312"/>
          <w:sz w:val="28"/>
          <w:szCs w:val="28"/>
        </w:rPr>
        <w:t>平方米，建有江西省优质安全畜禽生产产教融合重点创新平台、江西农业大学猪营养与饲料产业技术研究中心及猪营养代谢试验基地，面积达</w:t>
      </w:r>
      <w:r>
        <w:rPr>
          <w:rFonts w:ascii="仿宋_GB2312" w:eastAsia="仿宋_GB2312"/>
          <w:sz w:val="28"/>
          <w:szCs w:val="28"/>
        </w:rPr>
        <w:t>1600</w:t>
      </w:r>
      <w:r>
        <w:rPr>
          <w:rFonts w:hint="eastAsia" w:ascii="仿宋_GB2312" w:eastAsia="仿宋_GB2312"/>
          <w:sz w:val="28"/>
          <w:szCs w:val="28"/>
        </w:rPr>
        <w:t>平方米。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工作室建立了完善的工作制度，以研究为主体，以教学为主线，以骨干教师为纽带，以猪肠道健康与饲料资源开发技术创新为重点，明确任务分工，强化协同合作。工作室每学期召开三次全体会议；每</w:t>
      </w:r>
      <w:r>
        <w:rPr>
          <w:rFonts w:ascii="仿宋_GB2312" w:eastAsia="仿宋_GB2312"/>
          <w:sz w:val="28"/>
          <w:szCs w:val="28"/>
        </w:rPr>
        <w:t>2</w:t>
      </w:r>
      <w:r>
        <w:rPr>
          <w:rFonts w:hint="eastAsia" w:ascii="仿宋_GB2312" w:eastAsia="仿宋_GB2312"/>
          <w:sz w:val="28"/>
          <w:szCs w:val="28"/>
        </w:rPr>
        <w:t>周安排一次学术交流例会；研究生每周提交研究进展及学习周报； 每学年邀请校外同行专家来工作室交流指导</w:t>
      </w:r>
      <w:r>
        <w:rPr>
          <w:rFonts w:ascii="仿宋_GB2312" w:eastAsia="仿宋_GB2312"/>
          <w:sz w:val="28"/>
          <w:szCs w:val="28"/>
        </w:rPr>
        <w:t>3</w:t>
      </w:r>
      <w:r>
        <w:rPr>
          <w:rFonts w:hint="eastAsia" w:ascii="仿宋_GB2312" w:eastAsia="仿宋_GB2312"/>
          <w:sz w:val="28"/>
          <w:szCs w:val="28"/>
        </w:rPr>
        <w:t>次以上。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工作室建立了完善的考核奖励制度。针对每位成员教师每学年提出的计划目标，在年终进行考核，并根据业绩贡献予以奖励。针对每位研究生每学年提出的计划目标，在年终进行考核，并根据业绩贡献予以奖励。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自工作室成立以来，成员教师共承担各类科研项目共</w:t>
      </w:r>
      <w:r>
        <w:rPr>
          <w:rFonts w:ascii="仿宋_GB2312" w:eastAsia="仿宋_GB2312"/>
          <w:sz w:val="28"/>
          <w:szCs w:val="28"/>
        </w:rPr>
        <w:t>20</w:t>
      </w:r>
      <w:r>
        <w:rPr>
          <w:rFonts w:hint="eastAsia" w:ascii="仿宋_GB2312" w:eastAsia="仿宋_GB2312"/>
          <w:sz w:val="28"/>
          <w:szCs w:val="28"/>
        </w:rPr>
        <w:t>余项，其中国家级科研项目</w:t>
      </w:r>
      <w:r>
        <w:rPr>
          <w:rFonts w:ascii="仿宋_GB2312" w:eastAsia="仿宋_GB2312"/>
          <w:sz w:val="28"/>
          <w:szCs w:val="28"/>
        </w:rPr>
        <w:t>9</w:t>
      </w:r>
      <w:r>
        <w:rPr>
          <w:rFonts w:hint="eastAsia" w:ascii="仿宋_GB2312" w:eastAsia="仿宋_GB2312"/>
          <w:sz w:val="28"/>
          <w:szCs w:val="28"/>
        </w:rPr>
        <w:t>项，各类省级科技项目</w:t>
      </w:r>
      <w:r>
        <w:rPr>
          <w:rFonts w:ascii="仿宋_GB2312" w:eastAsia="仿宋_GB2312"/>
          <w:sz w:val="28"/>
          <w:szCs w:val="28"/>
        </w:rPr>
        <w:t>9</w:t>
      </w:r>
      <w:r>
        <w:rPr>
          <w:rFonts w:hint="eastAsia" w:ascii="仿宋_GB2312" w:eastAsia="仿宋_GB2312"/>
          <w:sz w:val="28"/>
          <w:szCs w:val="28"/>
        </w:rPr>
        <w:t>项，横向合作项目</w:t>
      </w:r>
      <w:r>
        <w:rPr>
          <w:rFonts w:ascii="仿宋_GB2312" w:eastAsia="仿宋_GB2312"/>
          <w:sz w:val="28"/>
          <w:szCs w:val="28"/>
        </w:rPr>
        <w:t>5</w:t>
      </w:r>
      <w:r>
        <w:rPr>
          <w:rFonts w:hint="eastAsia" w:ascii="仿宋_GB2312" w:eastAsia="仿宋_GB2312"/>
          <w:sz w:val="28"/>
          <w:szCs w:val="28"/>
        </w:rPr>
        <w:t>项，获资助项目经费</w:t>
      </w:r>
      <w:r>
        <w:rPr>
          <w:rFonts w:ascii="仿宋_GB2312" w:eastAsia="仿宋_GB2312"/>
          <w:sz w:val="28"/>
          <w:szCs w:val="28"/>
        </w:rPr>
        <w:t>1050</w:t>
      </w:r>
      <w:r>
        <w:rPr>
          <w:rFonts w:hint="eastAsia" w:ascii="仿宋_GB2312" w:eastAsia="仿宋_GB2312"/>
          <w:sz w:val="28"/>
          <w:szCs w:val="28"/>
        </w:rPr>
        <w:t>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本工作室团队长期以来，针对生产中亟待解决的仔猪断奶应激和抗生素替代等瓶颈问题，以仔猪“肠道屏障功能”和“免疫机能”为核心，与上海源耀农业股份有限公司、江西双胞胎集团公司等企业开展协作攻关，取得了一系列研究成果。获国家科技进步二等奖</w:t>
      </w:r>
      <w:r>
        <w:rPr>
          <w:rFonts w:ascii="仿宋_GB2312" w:eastAsia="仿宋_GB2312"/>
          <w:sz w:val="28"/>
          <w:szCs w:val="28"/>
        </w:rPr>
        <w:t>1</w:t>
      </w:r>
      <w:r>
        <w:rPr>
          <w:rFonts w:hint="eastAsia" w:ascii="仿宋_GB2312" w:eastAsia="仿宋_GB2312"/>
          <w:sz w:val="28"/>
          <w:szCs w:val="28"/>
        </w:rPr>
        <w:t>项、江西省科学技术进步二等奖</w:t>
      </w:r>
      <w:r>
        <w:rPr>
          <w:rFonts w:ascii="仿宋_GB2312" w:eastAsia="仿宋_GB2312"/>
          <w:sz w:val="28"/>
          <w:szCs w:val="28"/>
        </w:rPr>
        <w:t>1</w:t>
      </w:r>
      <w:r>
        <w:rPr>
          <w:rFonts w:hint="eastAsia" w:ascii="仿宋_GB2312" w:eastAsia="仿宋_GB2312"/>
          <w:sz w:val="28"/>
          <w:szCs w:val="28"/>
        </w:rPr>
        <w:t>项、国家教学成果二等奖</w:t>
      </w:r>
      <w:r>
        <w:rPr>
          <w:rFonts w:ascii="仿宋_GB2312" w:eastAsia="仿宋_GB2312"/>
          <w:sz w:val="28"/>
          <w:szCs w:val="28"/>
        </w:rPr>
        <w:t>1</w:t>
      </w:r>
      <w:r>
        <w:rPr>
          <w:rFonts w:hint="eastAsia" w:ascii="仿宋_GB2312" w:eastAsia="仿宋_GB2312"/>
          <w:sz w:val="28"/>
          <w:szCs w:val="28"/>
        </w:rPr>
        <w:t>项、江西省教学成果一等奖</w:t>
      </w:r>
      <w:r>
        <w:rPr>
          <w:rFonts w:ascii="仿宋_GB2312" w:eastAsia="仿宋_GB2312"/>
          <w:sz w:val="28"/>
          <w:szCs w:val="28"/>
        </w:rPr>
        <w:t>2</w:t>
      </w:r>
      <w:r>
        <w:rPr>
          <w:rFonts w:hint="eastAsia" w:ascii="仿宋_GB2312" w:eastAsia="仿宋_GB2312"/>
          <w:sz w:val="28"/>
          <w:szCs w:val="28"/>
        </w:rPr>
        <w:t>项、二等奖</w:t>
      </w:r>
      <w:r>
        <w:rPr>
          <w:rFonts w:ascii="仿宋_GB2312" w:eastAsia="仿宋_GB2312"/>
          <w:sz w:val="28"/>
          <w:szCs w:val="28"/>
        </w:rPr>
        <w:t>3</w:t>
      </w:r>
      <w:r>
        <w:rPr>
          <w:rFonts w:hint="eastAsia" w:ascii="仿宋_GB2312" w:eastAsia="仿宋_GB2312"/>
          <w:sz w:val="28"/>
          <w:szCs w:val="28"/>
        </w:rPr>
        <w:t>项，江西农业大学教学成果一等奖项、二等奖</w:t>
      </w:r>
      <w:r>
        <w:rPr>
          <w:rFonts w:ascii="仿宋_GB2312" w:eastAsia="仿宋_GB2312"/>
          <w:sz w:val="28"/>
          <w:szCs w:val="28"/>
        </w:rPr>
        <w:t>10</w:t>
      </w:r>
      <w:r>
        <w:rPr>
          <w:rFonts w:hint="eastAsia" w:ascii="仿宋_GB2312" w:eastAsia="仿宋_GB2312"/>
          <w:sz w:val="28"/>
          <w:szCs w:val="28"/>
        </w:rPr>
        <w:t>项，江西省农业科教人员突出贡献奖</w:t>
      </w:r>
      <w:r>
        <w:rPr>
          <w:rFonts w:ascii="仿宋_GB2312" w:eastAsia="仿宋_GB2312"/>
          <w:sz w:val="28"/>
          <w:szCs w:val="28"/>
        </w:rPr>
        <w:t>1</w:t>
      </w:r>
      <w:r>
        <w:rPr>
          <w:rFonts w:hint="eastAsia" w:ascii="仿宋_GB2312" w:eastAsia="仿宋_GB2312"/>
          <w:sz w:val="28"/>
          <w:szCs w:val="28"/>
        </w:rPr>
        <w:t>项；获国家发明专利</w:t>
      </w:r>
      <w:r>
        <w:rPr>
          <w:rFonts w:ascii="仿宋_GB2312" w:eastAsia="仿宋_GB2312"/>
          <w:sz w:val="28"/>
          <w:szCs w:val="28"/>
        </w:rPr>
        <w:t>1项，国际革新专利1项；在国内外学术期刊发表了100余篇</w:t>
      </w:r>
      <w:r>
        <w:rPr>
          <w:rFonts w:hint="eastAsia" w:ascii="仿宋_GB2312" w:eastAsia="仿宋_GB2312"/>
          <w:sz w:val="28"/>
          <w:szCs w:val="28"/>
        </w:rPr>
        <w:t>高水平</w:t>
      </w:r>
      <w:r>
        <w:rPr>
          <w:rFonts w:ascii="仿宋_GB2312" w:eastAsia="仿宋_GB2312"/>
          <w:sz w:val="28"/>
          <w:szCs w:val="28"/>
        </w:rPr>
        <w:t>学术论文</w:t>
      </w:r>
      <w:r>
        <w:rPr>
          <w:rFonts w:hint="eastAsia" w:ascii="仿宋_GB2312" w:eastAsia="仿宋_GB2312"/>
          <w:sz w:val="28"/>
          <w:szCs w:val="28"/>
        </w:rPr>
        <w:t>；累计培养本科生600余人、硕士和博士生100余人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xMDE3Njg0MTE4ZTEwOWE5ZWM0MjM2YTY0ZjZhNWMifQ=="/>
  </w:docVars>
  <w:rsids>
    <w:rsidRoot w:val="00F73FCC"/>
    <w:rsid w:val="00023FC1"/>
    <w:rsid w:val="00184123"/>
    <w:rsid w:val="006C2654"/>
    <w:rsid w:val="00804228"/>
    <w:rsid w:val="00F73FCC"/>
    <w:rsid w:val="4354661F"/>
    <w:rsid w:val="49782F69"/>
    <w:rsid w:val="66B31DBA"/>
    <w:rsid w:val="7FA4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1245</Words>
  <Characters>1267</Characters>
  <Lines>8</Lines>
  <Paragraphs>2</Paragraphs>
  <TotalTime>17</TotalTime>
  <ScaleCrop>false</ScaleCrop>
  <LinksUpToDate>false</LinksUpToDate>
  <CharactersWithSpaces>1268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2022-12-07T00:32:00Z</dcterms:created>
  <dc:creator>HP</dc:creator>
  <cp:lastModifiedBy>123</cp:lastModifiedBy>
  <dcterms:modified xsi:type="dcterms:W3CDTF">2022-12-07T04:00:34Z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3E51308ACC2A47DA8695C175D1C7F8DE</vt:lpwstr>
  </property>
</Properties>
</file>